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687" w:rsidRDefault="00E926B5">
      <w:pPr>
        <w:pStyle w:val="2"/>
        <w:widowControl/>
        <w:spacing w:before="0" w:beforeAutospacing="0" w:after="0" w:afterAutospacing="0" w:line="460" w:lineRule="exact"/>
        <w:jc w:val="center"/>
        <w:textAlignment w:val="baseline"/>
        <w:rPr>
          <w:rFonts w:cs="宋体" w:hint="default"/>
          <w:color w:val="383940"/>
          <w:sz w:val="32"/>
          <w:szCs w:val="32"/>
        </w:rPr>
      </w:pPr>
      <w:r>
        <w:rPr>
          <w:rFonts w:cs="宋体"/>
          <w:color w:val="383940"/>
          <w:sz w:val="32"/>
          <w:szCs w:val="32"/>
          <w:shd w:val="clear" w:color="auto" w:fill="FFFFFF"/>
        </w:rPr>
        <w:t>漳州九龙江医院整体筹备服务及托管运营服务项目单一来源采购公示</w:t>
      </w:r>
    </w:p>
    <w:p w:rsidR="005B1687" w:rsidRDefault="00E926B5">
      <w:pPr>
        <w:pStyle w:val="a3"/>
        <w:widowControl/>
        <w:spacing w:before="0" w:beforeAutospacing="0" w:after="0" w:afterAutospacing="0" w:line="460" w:lineRule="exact"/>
        <w:textAlignment w:val="baseline"/>
        <w:rPr>
          <w:rFonts w:ascii="宋体" w:hAnsi="宋体" w:cs="宋体"/>
        </w:rPr>
      </w:pPr>
      <w:r>
        <w:rPr>
          <w:rStyle w:val="a4"/>
          <w:rFonts w:ascii="宋体" w:hAnsi="宋体" w:cs="宋体" w:hint="eastAsia"/>
          <w:bCs/>
          <w:color w:val="383838"/>
          <w:shd w:val="clear" w:color="auto" w:fill="FFFFFF"/>
        </w:rPr>
        <w:t>一、项目信息</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采购人：漳州九龙江圆山投资有限公司</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项目名称：漳州九龙江医院整体筹备服务及托管运营服务项目</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拟采购的货物或者服务的说明：</w:t>
      </w:r>
    </w:p>
    <w:tbl>
      <w:tblPr>
        <w:tblW w:w="9885"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CellMar>
          <w:top w:w="15" w:type="dxa"/>
          <w:left w:w="15" w:type="dxa"/>
          <w:bottom w:w="15" w:type="dxa"/>
          <w:right w:w="15" w:type="dxa"/>
        </w:tblCellMar>
        <w:tblLook w:val="0000"/>
      </w:tblPr>
      <w:tblGrid>
        <w:gridCol w:w="705"/>
        <w:gridCol w:w="915"/>
        <w:gridCol w:w="1440"/>
        <w:gridCol w:w="1260"/>
        <w:gridCol w:w="855"/>
        <w:gridCol w:w="1245"/>
        <w:gridCol w:w="2370"/>
        <w:gridCol w:w="1095"/>
      </w:tblGrid>
      <w:tr w:rsidR="005B1687">
        <w:trPr>
          <w:trHeight w:val="1155"/>
          <w:jc w:val="center"/>
        </w:trPr>
        <w:tc>
          <w:tcPr>
            <w:tcW w:w="7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Style w:val="a4"/>
                <w:rFonts w:ascii="宋体" w:hAnsi="宋体" w:cs="宋体" w:hint="eastAsia"/>
                <w:bCs/>
              </w:rPr>
              <w:t>合同包</w:t>
            </w:r>
          </w:p>
        </w:tc>
        <w:tc>
          <w:tcPr>
            <w:tcW w:w="91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Style w:val="a4"/>
                <w:rFonts w:ascii="宋体" w:hAnsi="宋体" w:cs="宋体" w:hint="eastAsia"/>
                <w:bCs/>
              </w:rPr>
              <w:t>品目号</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Style w:val="a4"/>
                <w:rFonts w:ascii="宋体" w:hAnsi="宋体" w:cs="宋体" w:hint="eastAsia"/>
                <w:bCs/>
              </w:rPr>
              <w:t>标的名称</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Style w:val="a4"/>
                <w:rFonts w:ascii="宋体" w:hAnsi="宋体" w:cs="宋体" w:hint="eastAsia"/>
                <w:bCs/>
              </w:rPr>
              <w:t>主要技术要求</w:t>
            </w:r>
          </w:p>
        </w:tc>
        <w:tc>
          <w:tcPr>
            <w:tcW w:w="85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Style w:val="a4"/>
                <w:rFonts w:ascii="宋体" w:hAnsi="宋体" w:cs="宋体" w:hint="eastAsia"/>
                <w:bCs/>
              </w:rPr>
              <w:t>数量</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both"/>
              <w:textAlignment w:val="baseline"/>
              <w:rPr>
                <w:rFonts w:ascii="宋体" w:hAnsi="宋体" w:cs="宋体"/>
              </w:rPr>
            </w:pPr>
            <w:r>
              <w:rPr>
                <w:rStyle w:val="a4"/>
                <w:rFonts w:ascii="宋体" w:hAnsi="宋体" w:cs="宋体" w:hint="eastAsia"/>
                <w:bCs/>
              </w:rPr>
              <w:t>项目阶段</w:t>
            </w:r>
          </w:p>
        </w:tc>
        <w:tc>
          <w:tcPr>
            <w:tcW w:w="23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Style w:val="a4"/>
                <w:rFonts w:ascii="宋体" w:hAnsi="宋体" w:cs="宋体" w:hint="eastAsia"/>
                <w:bCs/>
              </w:rPr>
              <w:t>招标控制价</w:t>
            </w:r>
          </w:p>
        </w:tc>
        <w:tc>
          <w:tcPr>
            <w:tcW w:w="109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Style w:val="a4"/>
                <w:rFonts w:ascii="宋体" w:hAnsi="宋体" w:cs="宋体" w:hint="eastAsia"/>
                <w:bCs/>
              </w:rPr>
              <w:t>投标保证金</w:t>
            </w:r>
          </w:p>
        </w:tc>
      </w:tr>
      <w:tr w:rsidR="005B1687">
        <w:trPr>
          <w:trHeight w:val="1005"/>
          <w:jc w:val="center"/>
        </w:trPr>
        <w:tc>
          <w:tcPr>
            <w:tcW w:w="70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Fonts w:ascii="宋体" w:hAnsi="宋体" w:cs="宋体" w:hint="eastAsia"/>
              </w:rPr>
              <w:t>1</w:t>
            </w:r>
          </w:p>
        </w:tc>
        <w:tc>
          <w:tcPr>
            <w:tcW w:w="915" w:type="dxa"/>
            <w:tcBorders>
              <w:top w:val="nil"/>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Fonts w:ascii="宋体" w:hAnsi="宋体" w:cs="宋体" w:hint="eastAsia"/>
              </w:rPr>
              <w:t>1-1</w:t>
            </w:r>
          </w:p>
        </w:tc>
        <w:tc>
          <w:tcPr>
            <w:tcW w:w="1440" w:type="dxa"/>
            <w:vMerge w:val="restart"/>
            <w:tcBorders>
              <w:top w:val="nil"/>
              <w:left w:val="nil"/>
              <w:bottom w:val="single" w:sz="8" w:space="0" w:color="auto"/>
              <w:right w:val="single" w:sz="8" w:space="0" w:color="auto"/>
            </w:tcBorders>
            <w:tcMar>
              <w:top w:w="0" w:type="dxa"/>
              <w:left w:w="108" w:type="dxa"/>
              <w:bottom w:w="0" w:type="dxa"/>
              <w:right w:w="108" w:type="dxa"/>
            </w:tcMar>
          </w:tcPr>
          <w:p w:rsidR="005B1687" w:rsidRDefault="00E926B5" w:rsidP="00ED58B6">
            <w:pPr>
              <w:pStyle w:val="a3"/>
              <w:widowControl/>
              <w:spacing w:before="0" w:beforeAutospacing="0" w:after="0" w:afterAutospacing="0" w:line="460" w:lineRule="exact"/>
              <w:jc w:val="center"/>
              <w:textAlignment w:val="baseline"/>
              <w:rPr>
                <w:rFonts w:ascii="宋体" w:hAnsi="宋体" w:cs="宋体"/>
              </w:rPr>
            </w:pPr>
            <w:r>
              <w:rPr>
                <w:rFonts w:ascii="宋体" w:hAnsi="宋体" w:cs="宋体" w:hint="eastAsia"/>
              </w:rPr>
              <w:t>漳州九龙江医院整体筹备服务及托管运营服务项目</w:t>
            </w:r>
          </w:p>
        </w:tc>
        <w:tc>
          <w:tcPr>
            <w:tcW w:w="1260" w:type="dxa"/>
            <w:vMerge w:val="restart"/>
            <w:tcBorders>
              <w:top w:val="nil"/>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Fonts w:ascii="宋体" w:hAnsi="宋体" w:cs="宋体" w:hint="eastAsia"/>
              </w:rPr>
              <w:t>详见第三章招标内容及要求</w:t>
            </w:r>
          </w:p>
        </w:tc>
        <w:tc>
          <w:tcPr>
            <w:tcW w:w="855" w:type="dxa"/>
            <w:tcBorders>
              <w:top w:val="nil"/>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Fonts w:ascii="宋体" w:hAnsi="宋体" w:cs="宋体" w:hint="eastAsia"/>
              </w:rPr>
              <w:t>1项</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Fonts w:ascii="宋体" w:hAnsi="宋体" w:cs="宋体" w:hint="eastAsia"/>
              </w:rPr>
              <w:t>整体筹备服务</w:t>
            </w:r>
          </w:p>
        </w:tc>
        <w:tc>
          <w:tcPr>
            <w:tcW w:w="2370" w:type="dxa"/>
            <w:tcBorders>
              <w:top w:val="nil"/>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Fonts w:ascii="宋体" w:hAnsi="宋体" w:cs="宋体" w:hint="eastAsia"/>
              </w:rPr>
              <w:t>2800万元</w:t>
            </w:r>
          </w:p>
        </w:tc>
        <w:tc>
          <w:tcPr>
            <w:tcW w:w="10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Fonts w:ascii="宋体" w:hAnsi="宋体" w:cs="宋体" w:hint="eastAsia"/>
              </w:rPr>
              <w:t>50万元</w:t>
            </w:r>
          </w:p>
        </w:tc>
      </w:tr>
      <w:tr w:rsidR="005B1687">
        <w:trPr>
          <w:trHeight w:val="1005"/>
          <w:jc w:val="center"/>
        </w:trPr>
        <w:tc>
          <w:tcPr>
            <w:tcW w:w="705"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5B1687" w:rsidRDefault="005B1687">
            <w:pPr>
              <w:widowControl/>
              <w:spacing w:line="460" w:lineRule="exact"/>
              <w:rPr>
                <w:rFonts w:ascii="宋体" w:hAnsi="宋体" w:cs="宋体"/>
                <w:sz w:val="24"/>
              </w:rPr>
            </w:pPr>
          </w:p>
        </w:tc>
        <w:tc>
          <w:tcPr>
            <w:tcW w:w="915" w:type="dxa"/>
            <w:tcBorders>
              <w:top w:val="nil"/>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Fonts w:ascii="宋体" w:hAnsi="宋体" w:cs="宋体" w:hint="eastAsia"/>
              </w:rPr>
              <w:t>1-2</w:t>
            </w:r>
          </w:p>
        </w:tc>
        <w:tc>
          <w:tcPr>
            <w:tcW w:w="1440" w:type="dxa"/>
            <w:vMerge/>
            <w:tcBorders>
              <w:top w:val="nil"/>
              <w:left w:val="nil"/>
              <w:bottom w:val="single" w:sz="8" w:space="0" w:color="auto"/>
              <w:right w:val="single" w:sz="8" w:space="0" w:color="auto"/>
            </w:tcBorders>
            <w:tcMar>
              <w:top w:w="0" w:type="dxa"/>
              <w:left w:w="108" w:type="dxa"/>
              <w:bottom w:w="0" w:type="dxa"/>
              <w:right w:w="108" w:type="dxa"/>
            </w:tcMar>
          </w:tcPr>
          <w:p w:rsidR="005B1687" w:rsidRDefault="005B1687">
            <w:pPr>
              <w:widowControl/>
              <w:spacing w:line="460" w:lineRule="exact"/>
              <w:rPr>
                <w:rFonts w:ascii="宋体" w:hAnsi="宋体" w:cs="宋体"/>
                <w:sz w:val="24"/>
              </w:rPr>
            </w:pPr>
          </w:p>
        </w:tc>
        <w:tc>
          <w:tcPr>
            <w:tcW w:w="1260" w:type="dxa"/>
            <w:vMerge/>
            <w:tcBorders>
              <w:top w:val="nil"/>
              <w:left w:val="nil"/>
              <w:bottom w:val="single" w:sz="8" w:space="0" w:color="auto"/>
              <w:right w:val="single" w:sz="8" w:space="0" w:color="auto"/>
            </w:tcBorders>
            <w:tcMar>
              <w:top w:w="0" w:type="dxa"/>
              <w:left w:w="108" w:type="dxa"/>
              <w:bottom w:w="0" w:type="dxa"/>
              <w:right w:w="108" w:type="dxa"/>
            </w:tcMar>
          </w:tcPr>
          <w:p w:rsidR="005B1687" w:rsidRDefault="005B1687">
            <w:pPr>
              <w:widowControl/>
              <w:spacing w:line="460" w:lineRule="exact"/>
              <w:rPr>
                <w:rFonts w:ascii="宋体" w:hAnsi="宋体" w:cs="宋体"/>
                <w:sz w:val="24"/>
              </w:rPr>
            </w:pPr>
          </w:p>
        </w:tc>
        <w:tc>
          <w:tcPr>
            <w:tcW w:w="855" w:type="dxa"/>
            <w:tcBorders>
              <w:top w:val="nil"/>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Fonts w:ascii="宋体" w:hAnsi="宋体" w:cs="宋体" w:hint="eastAsia"/>
              </w:rPr>
              <w:t>1项</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rPr>
              <w:t>建设筹备期医疗设备（含器械）采购节约奖励金</w:t>
            </w:r>
          </w:p>
        </w:tc>
        <w:tc>
          <w:tcPr>
            <w:tcW w:w="2370" w:type="dxa"/>
            <w:tcBorders>
              <w:top w:val="nil"/>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rPr>
              <w:t>建设筹备期在医疗设备（含器械）采购节约金额超过2800万时，医院公司应向中标人支付医疗设备（含器械）采购节约奖励金，即医疗设备（含器械）采购节约奖励金（含税）=（采购总预算-实际采购总金额）×* %。* %不得超过15%。</w:t>
            </w:r>
          </w:p>
        </w:tc>
        <w:tc>
          <w:tcPr>
            <w:tcW w:w="1095" w:type="dxa"/>
            <w:vMerge/>
            <w:tcBorders>
              <w:top w:val="nil"/>
              <w:left w:val="nil"/>
              <w:bottom w:val="single" w:sz="8" w:space="0" w:color="auto"/>
              <w:right w:val="single" w:sz="8" w:space="0" w:color="auto"/>
            </w:tcBorders>
            <w:tcMar>
              <w:top w:w="0" w:type="dxa"/>
              <w:left w:w="108" w:type="dxa"/>
              <w:bottom w:w="0" w:type="dxa"/>
              <w:right w:w="108" w:type="dxa"/>
            </w:tcMar>
          </w:tcPr>
          <w:p w:rsidR="005B1687" w:rsidRDefault="005B1687">
            <w:pPr>
              <w:widowControl/>
              <w:spacing w:line="460" w:lineRule="exact"/>
              <w:rPr>
                <w:rFonts w:ascii="宋体" w:hAnsi="宋体" w:cs="宋体"/>
                <w:sz w:val="24"/>
              </w:rPr>
            </w:pPr>
          </w:p>
        </w:tc>
      </w:tr>
      <w:tr w:rsidR="005B1687">
        <w:trPr>
          <w:trHeight w:val="1005"/>
          <w:jc w:val="center"/>
        </w:trPr>
        <w:tc>
          <w:tcPr>
            <w:tcW w:w="705"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5B1687" w:rsidRDefault="005B1687">
            <w:pPr>
              <w:widowControl/>
              <w:spacing w:line="460" w:lineRule="exact"/>
              <w:rPr>
                <w:rFonts w:ascii="宋体" w:hAnsi="宋体" w:cs="宋体"/>
                <w:sz w:val="24"/>
              </w:rPr>
            </w:pPr>
          </w:p>
        </w:tc>
        <w:tc>
          <w:tcPr>
            <w:tcW w:w="915" w:type="dxa"/>
            <w:tcBorders>
              <w:top w:val="nil"/>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Fonts w:ascii="宋体" w:hAnsi="宋体" w:cs="宋体" w:hint="eastAsia"/>
              </w:rPr>
              <w:t>1-3</w:t>
            </w:r>
          </w:p>
        </w:tc>
        <w:tc>
          <w:tcPr>
            <w:tcW w:w="1440" w:type="dxa"/>
            <w:vMerge/>
            <w:tcBorders>
              <w:top w:val="nil"/>
              <w:left w:val="nil"/>
              <w:bottom w:val="single" w:sz="8" w:space="0" w:color="auto"/>
              <w:right w:val="single" w:sz="8" w:space="0" w:color="auto"/>
            </w:tcBorders>
            <w:tcMar>
              <w:top w:w="0" w:type="dxa"/>
              <w:left w:w="108" w:type="dxa"/>
              <w:bottom w:w="0" w:type="dxa"/>
              <w:right w:w="108" w:type="dxa"/>
            </w:tcMar>
          </w:tcPr>
          <w:p w:rsidR="005B1687" w:rsidRDefault="005B1687">
            <w:pPr>
              <w:widowControl/>
              <w:spacing w:line="460" w:lineRule="exact"/>
              <w:rPr>
                <w:rFonts w:ascii="宋体" w:hAnsi="宋体" w:cs="宋体"/>
                <w:sz w:val="24"/>
              </w:rPr>
            </w:pPr>
          </w:p>
        </w:tc>
        <w:tc>
          <w:tcPr>
            <w:tcW w:w="1260" w:type="dxa"/>
            <w:vMerge/>
            <w:tcBorders>
              <w:top w:val="nil"/>
              <w:left w:val="nil"/>
              <w:bottom w:val="single" w:sz="8" w:space="0" w:color="auto"/>
              <w:right w:val="single" w:sz="8" w:space="0" w:color="auto"/>
            </w:tcBorders>
            <w:tcMar>
              <w:top w:w="0" w:type="dxa"/>
              <w:left w:w="108" w:type="dxa"/>
              <w:bottom w:w="0" w:type="dxa"/>
              <w:right w:w="108" w:type="dxa"/>
            </w:tcMar>
          </w:tcPr>
          <w:p w:rsidR="005B1687" w:rsidRDefault="005B1687">
            <w:pPr>
              <w:widowControl/>
              <w:spacing w:line="460" w:lineRule="exact"/>
              <w:rPr>
                <w:rFonts w:ascii="宋体" w:hAnsi="宋体" w:cs="宋体"/>
                <w:sz w:val="24"/>
              </w:rPr>
            </w:pPr>
          </w:p>
        </w:tc>
        <w:tc>
          <w:tcPr>
            <w:tcW w:w="855" w:type="dxa"/>
            <w:tcBorders>
              <w:top w:val="nil"/>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jc w:val="center"/>
              <w:textAlignment w:val="baseline"/>
              <w:rPr>
                <w:rFonts w:ascii="宋体" w:hAnsi="宋体" w:cs="宋体"/>
              </w:rPr>
            </w:pPr>
            <w:r>
              <w:rPr>
                <w:rFonts w:ascii="宋体" w:hAnsi="宋体" w:cs="宋体" w:hint="eastAsia"/>
              </w:rPr>
              <w:t>1项</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rPr>
              <w:t>托管服务（自医院试运营之日起至第8个完整自然年度</w:t>
            </w:r>
            <w:r>
              <w:rPr>
                <w:rFonts w:ascii="宋体" w:hAnsi="宋体" w:cs="宋体" w:hint="eastAsia"/>
              </w:rPr>
              <w:lastRenderedPageBreak/>
              <w:t>结束之日终止，如满足招标要求，可自动延长8个完整自然年度）</w:t>
            </w:r>
          </w:p>
        </w:tc>
        <w:tc>
          <w:tcPr>
            <w:tcW w:w="2370" w:type="dxa"/>
            <w:tcBorders>
              <w:top w:val="nil"/>
              <w:left w:val="nil"/>
              <w:bottom w:val="single" w:sz="8" w:space="0" w:color="auto"/>
              <w:right w:val="single" w:sz="8" w:space="0" w:color="auto"/>
            </w:tcBorders>
            <w:tcMar>
              <w:top w:w="0" w:type="dxa"/>
              <w:left w:w="108" w:type="dxa"/>
              <w:bottom w:w="0" w:type="dxa"/>
              <w:right w:w="108" w:type="dxa"/>
            </w:tcMar>
          </w:tcPr>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rPr>
              <w:lastRenderedPageBreak/>
              <w:t>托管期内当年度经审计的（营业收入+补贴收入+营业外收入）×3%；医院试运营后第一个至第三个完整自然年度，每</w:t>
            </w:r>
            <w:r>
              <w:rPr>
                <w:rFonts w:ascii="宋体" w:hAnsi="宋体" w:cs="宋体" w:hint="eastAsia"/>
              </w:rPr>
              <w:lastRenderedPageBreak/>
              <w:t>年的托管服务费不足1000万元的，按1000万元/年计算，若医院试运营当年不足一个完整年度的，按医院试运营之日至当年12月31日的天数折算托管服务费，即1000万/365×（医院试运营之日起至当年12月31日的总天数）。</w:t>
            </w:r>
          </w:p>
        </w:tc>
        <w:tc>
          <w:tcPr>
            <w:tcW w:w="1095" w:type="dxa"/>
            <w:vMerge/>
            <w:tcBorders>
              <w:top w:val="nil"/>
              <w:left w:val="nil"/>
              <w:bottom w:val="single" w:sz="8" w:space="0" w:color="auto"/>
              <w:right w:val="single" w:sz="8" w:space="0" w:color="auto"/>
            </w:tcBorders>
            <w:tcMar>
              <w:top w:w="0" w:type="dxa"/>
              <w:left w:w="108" w:type="dxa"/>
              <w:bottom w:w="0" w:type="dxa"/>
              <w:right w:w="108" w:type="dxa"/>
            </w:tcMar>
          </w:tcPr>
          <w:p w:rsidR="005B1687" w:rsidRDefault="005B1687">
            <w:pPr>
              <w:widowControl/>
              <w:spacing w:line="460" w:lineRule="exact"/>
              <w:rPr>
                <w:rFonts w:ascii="宋体" w:hAnsi="宋体" w:cs="宋体"/>
                <w:sz w:val="24"/>
              </w:rPr>
            </w:pPr>
          </w:p>
        </w:tc>
      </w:tr>
    </w:tbl>
    <w:p w:rsidR="005B1687" w:rsidRDefault="00E926B5">
      <w:pPr>
        <w:widowControl/>
        <w:pBdr>
          <w:top w:val="single" w:sz="2" w:space="0" w:color="DDDDDD"/>
        </w:pBdr>
        <w:shd w:val="clear" w:color="auto" w:fill="FFFFFF"/>
        <w:spacing w:line="460" w:lineRule="exact"/>
        <w:jc w:val="left"/>
        <w:textAlignment w:val="baseline"/>
        <w:rPr>
          <w:rFonts w:ascii="宋体" w:hAnsi="宋体" w:cs="宋体"/>
          <w:color w:val="383838"/>
          <w:sz w:val="24"/>
        </w:rPr>
      </w:pPr>
      <w:r>
        <w:rPr>
          <w:rFonts w:ascii="宋体" w:hAnsi="宋体" w:cs="宋体" w:hint="eastAsia"/>
          <w:color w:val="383838"/>
          <w:kern w:val="0"/>
          <w:sz w:val="24"/>
          <w:shd w:val="clear" w:color="auto" w:fill="FFFFFF"/>
        </w:rPr>
        <w:lastRenderedPageBreak/>
        <w:t> </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拟采购的货物或服务的预算金额：</w:t>
      </w:r>
      <w:r w:rsidR="009E2441" w:rsidRPr="009E2441">
        <w:rPr>
          <w:rFonts w:ascii="宋体" w:hAnsi="宋体" w:cs="宋体"/>
          <w:color w:val="383838"/>
          <w:shd w:val="clear" w:color="auto" w:fill="FFFFFF"/>
        </w:rPr>
        <w:t>28,000,000.00</w:t>
      </w:r>
      <w:r>
        <w:rPr>
          <w:rFonts w:ascii="宋体" w:hAnsi="宋体" w:cs="宋体" w:hint="eastAsia"/>
          <w:color w:val="383838"/>
          <w:shd w:val="clear" w:color="auto" w:fill="FFFFFF"/>
        </w:rPr>
        <w:t xml:space="preserve"> 万元（人民币）</w:t>
      </w:r>
    </w:p>
    <w:p w:rsidR="005B1687" w:rsidRDefault="00E926B5">
      <w:pPr>
        <w:pStyle w:val="a3"/>
        <w:widowControl/>
        <w:spacing w:before="0" w:beforeAutospacing="0" w:after="0" w:afterAutospacing="0" w:line="460" w:lineRule="exact"/>
        <w:textAlignment w:val="baseline"/>
        <w:rPr>
          <w:rFonts w:ascii="宋体" w:hAnsi="宋体" w:cs="宋体"/>
          <w:color w:val="383838"/>
          <w:shd w:val="clear" w:color="auto" w:fill="FFFFFF"/>
        </w:rPr>
      </w:pPr>
      <w:r>
        <w:rPr>
          <w:rFonts w:ascii="宋体" w:hAnsi="宋体" w:cs="宋体" w:hint="eastAsia"/>
          <w:color w:val="383838"/>
          <w:shd w:val="clear" w:color="auto" w:fill="FFFFFF"/>
        </w:rPr>
        <w:t>采用单一来源采购方式的原因及说明:</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漳州九龙江医院整体筹备服务及托管运营服务项目经过两次公开招标，参与应答供应商均只有一家的，后经专家论证，属于潜在供应商不只一家而是参与供应商只有一家，参照《政府采购法》第三十一条第（一）款“只能从唯一供应商处采购的”规定，故拟采用单一来源采购方式实施采购。</w:t>
      </w:r>
    </w:p>
    <w:p w:rsidR="005B1687" w:rsidRDefault="00E926B5">
      <w:pPr>
        <w:pStyle w:val="a3"/>
        <w:widowControl/>
        <w:spacing w:before="0" w:beforeAutospacing="0" w:after="0" w:afterAutospacing="0" w:line="460" w:lineRule="exact"/>
        <w:textAlignment w:val="baseline"/>
        <w:rPr>
          <w:rFonts w:ascii="宋体" w:hAnsi="宋体" w:cs="宋体"/>
        </w:rPr>
      </w:pPr>
      <w:r>
        <w:rPr>
          <w:rStyle w:val="a4"/>
          <w:rFonts w:ascii="宋体" w:hAnsi="宋体" w:cs="宋体" w:hint="eastAsia"/>
          <w:bCs/>
          <w:color w:val="383838"/>
          <w:shd w:val="clear" w:color="auto" w:fill="FFFFFF"/>
        </w:rPr>
        <w:t>二、拟定供应商信息</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名称：厦门建发弘爱医疗集团有限公司</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地址：厦门市湖里区仙岳路3777号厦门弘爱医院综合楼4楼G单元</w:t>
      </w:r>
    </w:p>
    <w:p w:rsidR="005B1687" w:rsidRDefault="00E926B5">
      <w:pPr>
        <w:pStyle w:val="a3"/>
        <w:widowControl/>
        <w:spacing w:before="0" w:beforeAutospacing="0" w:after="0" w:afterAutospacing="0" w:line="460" w:lineRule="exact"/>
        <w:textAlignment w:val="baseline"/>
        <w:rPr>
          <w:rFonts w:ascii="宋体" w:hAnsi="宋体" w:cs="宋体"/>
        </w:rPr>
      </w:pPr>
      <w:r>
        <w:rPr>
          <w:rStyle w:val="a4"/>
          <w:rFonts w:ascii="宋体" w:hAnsi="宋体" w:cs="宋体" w:hint="eastAsia"/>
          <w:bCs/>
          <w:color w:val="383838"/>
          <w:shd w:val="clear" w:color="auto" w:fill="FFFFFF"/>
        </w:rPr>
        <w:t>三、公示期限</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2023年10月21日至2023年10月27日</w:t>
      </w:r>
    </w:p>
    <w:p w:rsidR="005B1687" w:rsidRDefault="00E926B5">
      <w:pPr>
        <w:pStyle w:val="a3"/>
        <w:widowControl/>
        <w:spacing w:before="0" w:beforeAutospacing="0" w:after="0" w:afterAutospacing="0" w:line="460" w:lineRule="exact"/>
        <w:textAlignment w:val="baseline"/>
        <w:rPr>
          <w:rFonts w:ascii="宋体" w:hAnsi="宋体" w:cs="宋体"/>
        </w:rPr>
      </w:pPr>
      <w:r>
        <w:rPr>
          <w:rStyle w:val="a4"/>
          <w:rFonts w:ascii="宋体" w:hAnsi="宋体" w:cs="宋体" w:hint="eastAsia"/>
          <w:bCs/>
          <w:color w:val="383838"/>
          <w:shd w:val="clear" w:color="auto" w:fill="FFFFFF"/>
        </w:rPr>
        <w:t>四、其他补充事宜：</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w:t>
      </w:r>
    </w:p>
    <w:p w:rsidR="005B1687" w:rsidRDefault="00E926B5">
      <w:pPr>
        <w:pStyle w:val="a3"/>
        <w:widowControl/>
        <w:spacing w:before="0" w:beforeAutospacing="0" w:after="0" w:afterAutospacing="0" w:line="460" w:lineRule="exact"/>
        <w:textAlignment w:val="baseline"/>
        <w:rPr>
          <w:rFonts w:ascii="宋体" w:hAnsi="宋体" w:cs="宋体"/>
        </w:rPr>
      </w:pPr>
      <w:r>
        <w:rPr>
          <w:rStyle w:val="a4"/>
          <w:rFonts w:ascii="宋体" w:hAnsi="宋体" w:cs="宋体" w:hint="eastAsia"/>
          <w:bCs/>
          <w:color w:val="383838"/>
          <w:shd w:val="clear" w:color="auto" w:fill="FFFFFF"/>
        </w:rPr>
        <w:t>五、联系方式</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1.采购人</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 xml:space="preserve">联系人：漳州九龙江圆山投资有限公司　　　　　</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lastRenderedPageBreak/>
        <w:t xml:space="preserve">地址：福建省漳州市龙文区湖滨路1号碧湖城市广场2号楼22层 九龙江圆山公司办公室　　　　　　　　</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 xml:space="preserve">联系方式：林工 0596-6631882　　　　　　</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2.财政部门</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联系人：/</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联系地址：/</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联系电话：/</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3.采购代理机构信息</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 xml:space="preserve">名 称：福建城域工程咨询有限公司　　　　　　　　　　　　</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 xml:space="preserve">地　址：福建省漳州市龙文区新浦东路22号明发商业广场1幢2407室-2414室　　　　　　　　　　　　</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 xml:space="preserve">联系方式：小陈 0596-2862209　　　　　　　　　　　　</w:t>
      </w:r>
    </w:p>
    <w:p w:rsidR="005B1687" w:rsidRDefault="00E926B5">
      <w:pPr>
        <w:pStyle w:val="a3"/>
        <w:widowControl/>
        <w:spacing w:before="0" w:beforeAutospacing="0" w:after="0" w:afterAutospacing="0" w:line="460" w:lineRule="exact"/>
        <w:textAlignment w:val="baseline"/>
        <w:rPr>
          <w:rFonts w:ascii="宋体" w:hAnsi="宋体" w:cs="宋体"/>
        </w:rPr>
      </w:pPr>
      <w:r>
        <w:rPr>
          <w:rFonts w:ascii="宋体" w:hAnsi="宋体" w:cs="宋体" w:hint="eastAsia"/>
          <w:color w:val="383838"/>
          <w:shd w:val="clear" w:color="auto" w:fill="FFFFFF"/>
        </w:rPr>
        <w:t> </w:t>
      </w:r>
    </w:p>
    <w:p w:rsidR="005B1687" w:rsidRDefault="00E926B5">
      <w:r>
        <w:rPr>
          <w:noProof/>
        </w:rPr>
        <w:lastRenderedPageBreak/>
        <w:drawing>
          <wp:inline distT="0" distB="0" distL="0" distR="0">
            <wp:extent cx="5276850" cy="74295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276850" cy="7429500"/>
                    </a:xfrm>
                    <a:prstGeom prst="rect">
                      <a:avLst/>
                    </a:prstGeom>
                    <a:noFill/>
                    <a:ln w="9525">
                      <a:noFill/>
                      <a:miter lim="800000"/>
                      <a:headEnd/>
                      <a:tailEnd/>
                    </a:ln>
                  </pic:spPr>
                </pic:pic>
              </a:graphicData>
            </a:graphic>
          </wp:inline>
        </w:drawing>
      </w:r>
    </w:p>
    <w:p w:rsidR="00E926B5" w:rsidRDefault="00E926B5"/>
    <w:p w:rsidR="00E926B5" w:rsidRDefault="00E926B5"/>
    <w:p w:rsidR="00E926B5" w:rsidRDefault="00E926B5"/>
    <w:p w:rsidR="00E926B5" w:rsidRDefault="00E926B5"/>
    <w:p w:rsidR="00E926B5" w:rsidRDefault="00E926B5"/>
    <w:p w:rsidR="00E926B5" w:rsidRDefault="00E926B5"/>
    <w:p w:rsidR="00E926B5" w:rsidRDefault="00E926B5">
      <w:r>
        <w:rPr>
          <w:noProof/>
        </w:rPr>
        <w:lastRenderedPageBreak/>
        <w:drawing>
          <wp:inline distT="0" distB="0" distL="0" distR="0">
            <wp:extent cx="5276850" cy="74295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276850" cy="7429500"/>
                    </a:xfrm>
                    <a:prstGeom prst="rect">
                      <a:avLst/>
                    </a:prstGeom>
                    <a:noFill/>
                    <a:ln w="9525">
                      <a:noFill/>
                      <a:miter lim="800000"/>
                      <a:headEnd/>
                      <a:tailEnd/>
                    </a:ln>
                  </pic:spPr>
                </pic:pic>
              </a:graphicData>
            </a:graphic>
          </wp:inline>
        </w:drawing>
      </w:r>
      <w:r w:rsidRPr="00E926B5">
        <w:t xml:space="preserve"> </w:t>
      </w:r>
      <w:r>
        <w:rPr>
          <w:noProof/>
        </w:rPr>
        <w:lastRenderedPageBreak/>
        <w:drawing>
          <wp:inline distT="0" distB="0" distL="0" distR="0">
            <wp:extent cx="5276850" cy="74295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5276850" cy="7429500"/>
                    </a:xfrm>
                    <a:prstGeom prst="rect">
                      <a:avLst/>
                    </a:prstGeom>
                    <a:noFill/>
                    <a:ln w="9525">
                      <a:noFill/>
                      <a:miter lim="800000"/>
                      <a:headEnd/>
                      <a:tailEnd/>
                    </a:ln>
                  </pic:spPr>
                </pic:pic>
              </a:graphicData>
            </a:graphic>
          </wp:inline>
        </w:drawing>
      </w:r>
    </w:p>
    <w:sectPr w:rsidR="00E926B5" w:rsidSect="005B1687">
      <w:pgSz w:w="11906" w:h="16838"/>
      <w:pgMar w:top="1440" w:right="1800" w:bottom="1440" w:left="1800"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
  <w:docVars>
    <w:docVar w:name="commondata" w:val="eyJoZGlkIjoiYTViMmI1ZTNmMmJhOGQ2MGQ5ZWRlYjg3Mzg1ZTBiMmEifQ=="/>
  </w:docVars>
  <w:rsids>
    <w:rsidRoot w:val="00E926B5"/>
    <w:rsid w:val="005B1687"/>
    <w:rsid w:val="00927F97"/>
    <w:rsid w:val="009E2441"/>
    <w:rsid w:val="00E926B5"/>
    <w:rsid w:val="00ED58B6"/>
    <w:rsid w:val="3EE5123E"/>
    <w:rsid w:val="639F107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B1687"/>
    <w:pPr>
      <w:widowControl w:val="0"/>
      <w:jc w:val="both"/>
    </w:pPr>
    <w:rPr>
      <w:rFonts w:ascii="Calibri" w:hAnsi="Calibri"/>
      <w:kern w:val="2"/>
      <w:sz w:val="21"/>
      <w:szCs w:val="24"/>
    </w:rPr>
  </w:style>
  <w:style w:type="paragraph" w:styleId="2">
    <w:name w:val="heading 2"/>
    <w:basedOn w:val="a"/>
    <w:next w:val="a"/>
    <w:qFormat/>
    <w:rsid w:val="005B1687"/>
    <w:pPr>
      <w:spacing w:before="100" w:beforeAutospacing="1" w:after="100" w:afterAutospacing="1"/>
      <w:jc w:val="left"/>
      <w:outlineLvl w:val="1"/>
    </w:pPr>
    <w:rPr>
      <w:rFonts w:ascii="宋体" w:hAnsi="宋体"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B1687"/>
    <w:pPr>
      <w:spacing w:before="100" w:beforeAutospacing="1" w:after="100" w:afterAutospacing="1"/>
      <w:jc w:val="left"/>
    </w:pPr>
    <w:rPr>
      <w:kern w:val="0"/>
      <w:sz w:val="24"/>
    </w:rPr>
  </w:style>
  <w:style w:type="character" w:styleId="a4">
    <w:name w:val="Strong"/>
    <w:basedOn w:val="a0"/>
    <w:qFormat/>
    <w:rsid w:val="005B1687"/>
    <w:rPr>
      <w:b/>
    </w:rPr>
  </w:style>
  <w:style w:type="paragraph" w:styleId="a5">
    <w:name w:val="Balloon Text"/>
    <w:basedOn w:val="a"/>
    <w:link w:val="Char"/>
    <w:rsid w:val="00ED58B6"/>
    <w:rPr>
      <w:sz w:val="18"/>
      <w:szCs w:val="18"/>
    </w:rPr>
  </w:style>
  <w:style w:type="character" w:customStyle="1" w:styleId="Char">
    <w:name w:val="批注框文本 Char"/>
    <w:basedOn w:val="a0"/>
    <w:link w:val="a5"/>
    <w:rsid w:val="00ED58B6"/>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171</Words>
  <Characters>977</Characters>
  <Application>Microsoft Office Word</Application>
  <DocSecurity>0</DocSecurity>
  <Lines>8</Lines>
  <Paragraphs>2</Paragraphs>
  <ScaleCrop>false</ScaleCrop>
  <Company/>
  <LinksUpToDate>false</LinksUpToDate>
  <CharactersWithSpaces>1146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2023-10-20T04:11:00Z</dcterms:created>
  <dcterms:modified xsi:type="dcterms:W3CDTF">2023-10-20T04:24:00Z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3E1F9131A1E34ECEA9F317E2908BC58F_12</vt:lpwstr>
  </property>
</Properties>
</file>