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 w:cs="宋体"/>
          <w:kern w:val="0"/>
          <w:sz w:val="30"/>
          <w:szCs w:val="30"/>
        </w:rPr>
      </w:pPr>
      <w:r>
        <w:rPr>
          <w:rFonts w:hint="eastAsia" w:ascii="仿宋_GB2312" w:eastAsia="仿宋_GB2312" w:cs="宋体"/>
          <w:kern w:val="0"/>
          <w:sz w:val="30"/>
          <w:szCs w:val="30"/>
        </w:rPr>
        <w:t>附件三：</w:t>
      </w:r>
      <w:bookmarkStart w:id="0" w:name="_GoBack"/>
      <w:bookmarkEnd w:id="0"/>
    </w:p>
    <w:p>
      <w:pPr>
        <w:spacing w:line="560" w:lineRule="exact"/>
        <w:jc w:val="center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eastAsia="仿宋_GB2312" w:cs="宋体"/>
          <w:kern w:val="0"/>
          <w:sz w:val="44"/>
          <w:szCs w:val="44"/>
        </w:rPr>
        <w:t>有形资产金额</w:t>
      </w:r>
    </w:p>
    <w:tbl>
      <w:tblPr>
        <w:tblStyle w:val="3"/>
        <w:tblpPr w:leftFromText="180" w:rightFromText="180" w:vertAnchor="page" w:horzAnchor="margin" w:tblpXSpec="center" w:tblpY="3166"/>
        <w:tblW w:w="79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31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2020年3月存货、固定资产及在建工程账面价值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单位：元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名    称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金    额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1.存货合计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62,593,736.72 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未按会计准则计提减值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其中：材料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20,260,589.81 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库存商品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3,535,468.76 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    生产成本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38,786,802.98 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2.固定资产原值（不含转让给龙轴）合计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71,833,373.73 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已提折旧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58,947,634.22 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净值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12,885,739.51 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3.在建工程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13,745,092.43 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未办固定资产，未计提折旧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合 计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89,224,568.66 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账面净值（剔除固定资产已提折旧）</w:t>
            </w:r>
          </w:p>
        </w:tc>
      </w:tr>
    </w:tbl>
    <w:p>
      <w:pPr>
        <w:spacing w:line="560" w:lineRule="exact"/>
        <w:rPr>
          <w:rFonts w:ascii="仿宋_GB2312" w:hAnsi="宋体" w:eastAsia="仿宋_GB2312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注：详细目录在比选后提供给中选人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91708"/>
    <w:rsid w:val="5D691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2020-04-01T08:42:00Z</dcterms:created>
  <dc:creator>Administrator</dc:creator>
  <cp:lastModifiedBy>Administrator</cp:lastModifiedBy>
  <dcterms:modified xsi:type="dcterms:W3CDTF">2020-04-01T08:43:56Z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